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8DB86">
      <w:pPr>
        <w:spacing w:before="240" w:line="480" w:lineRule="exact"/>
        <w:jc w:val="center"/>
        <w:rPr>
          <w:rFonts w:hint="eastAsia" w:ascii="微软雅黑" w:hAnsi="微软雅黑" w:eastAsia="微软雅黑" w:cs="微软雅黑"/>
          <w:b/>
          <w:kern w:val="0"/>
          <w:sz w:val="40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40"/>
          <w:szCs w:val="40"/>
        </w:rPr>
        <w:t>FD-QM高等教育智慧课程评审</w:t>
      </w:r>
      <w:r>
        <w:rPr>
          <w:rFonts w:hint="eastAsia" w:ascii="微软雅黑" w:hAnsi="微软雅黑" w:eastAsia="微软雅黑" w:cs="微软雅黑"/>
          <w:b/>
          <w:kern w:val="0"/>
          <w:sz w:val="40"/>
          <w:szCs w:val="40"/>
          <w:lang w:val="en-US" w:eastAsia="zh-CN"/>
        </w:rPr>
        <w:t>作业</w:t>
      </w:r>
    </w:p>
    <w:p w14:paraId="79B8CDF7">
      <w:pPr>
        <w:spacing w:before="240" w:after="240" w:line="480" w:lineRule="exact"/>
        <w:jc w:val="center"/>
        <w:rPr>
          <w:rFonts w:ascii="微软雅黑" w:hAnsi="微软雅黑" w:eastAsia="微软雅黑" w:cs="微软雅黑"/>
          <w:kern w:val="0"/>
          <w:sz w:val="32"/>
          <w:szCs w:val="40"/>
        </w:rPr>
      </w:pPr>
      <w:r>
        <w:rPr>
          <w:rFonts w:hint="eastAsia" w:ascii="微软雅黑" w:hAnsi="微软雅黑" w:eastAsia="微软雅黑" w:cs="微软雅黑"/>
          <w:kern w:val="0"/>
          <w:sz w:val="40"/>
          <w:szCs w:val="40"/>
        </w:rPr>
        <w:t>（</w:t>
      </w:r>
      <w:r>
        <w:rPr>
          <w:rFonts w:hint="eastAsia" w:ascii="微软雅黑" w:hAnsi="微软雅黑" w:eastAsia="微软雅黑" w:cs="微软雅黑"/>
          <w:kern w:val="0"/>
          <w:sz w:val="40"/>
          <w:szCs w:val="40"/>
          <w:lang w:val="en-US" w:eastAsia="zh-CN"/>
        </w:rPr>
        <w:t>试用</w:t>
      </w:r>
      <w:r>
        <w:rPr>
          <w:rFonts w:ascii="微软雅黑" w:hAnsi="微软雅黑" w:eastAsia="微软雅黑" w:cs="微软雅黑"/>
          <w:kern w:val="0"/>
          <w:sz w:val="40"/>
          <w:szCs w:val="40"/>
        </w:rPr>
        <w:t>版</w:t>
      </w:r>
      <w:r>
        <w:rPr>
          <w:rFonts w:hint="eastAsia" w:ascii="微软雅黑" w:hAnsi="微软雅黑" w:eastAsia="微软雅黑" w:cs="微软雅黑"/>
          <w:kern w:val="0"/>
          <w:sz w:val="40"/>
          <w:szCs w:val="40"/>
        </w:rPr>
        <w:t>）</w:t>
      </w:r>
    </w:p>
    <w:p w14:paraId="0600C840">
      <w:pPr>
        <w:spacing w:line="480" w:lineRule="exact"/>
        <w:rPr>
          <w:b/>
          <w:sz w:val="24"/>
          <w:szCs w:val="24"/>
        </w:rPr>
      </w:pPr>
      <w:r>
        <w:rPr>
          <w:color w:val="000000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64770</wp:posOffset>
                </wp:positionV>
                <wp:extent cx="5943600" cy="1403985"/>
                <wp:effectExtent l="0" t="0" r="19050" b="1397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19E539C">
                            <w:pPr>
                              <w:spacing w:line="320" w:lineRule="exact"/>
                              <w:ind w:firstLine="440" w:firstLineChars="200"/>
                              <w:rPr>
                                <w:rFonts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课程评审采用“</w:t>
                            </w:r>
                            <w:bookmarkStart w:id="0" w:name="_Hlk59007246"/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FD-QM高等教育智慧课程质量标准及注释</w:t>
                            </w:r>
                            <w:bookmarkEnd w:id="0"/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  <w:lang w:val="en-US" w:eastAsia="zh-CN"/>
                              </w:rPr>
                              <w:t>试用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版）”，该标准由复旦大学教师教学发展中心领衔全国FD-QM</w:t>
                            </w:r>
                            <w:r>
                              <w:rPr>
                                <w:rFonts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联盟团队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与国际在线教育专业评估机构Quality Matters (QM)联合研制，202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  <w:lang w:val="en-US" w:eastAsia="zh-CN"/>
                              </w:rPr>
                              <w:t>试运行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，共有8大类标准3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个小类指标，满分为8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分。</w:t>
                            </w:r>
                          </w:p>
                          <w:p w14:paraId="1B5B9AB9">
                            <w:pPr>
                              <w:spacing w:line="320" w:lineRule="exact"/>
                              <w:ind w:firstLine="440" w:firstLineChars="200"/>
                              <w:rPr>
                                <w:rFonts w:ascii="华文楷体" w:hAnsi="华文楷体" w:eastAsia="华文楷体"/>
                                <w:sz w:val="22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被评审课程需同时满足以下两个要求，方可通过评审：（1）总分≥5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分；（2）大类标准二、三、五为重点评审内容，3项的达标分合计不低于2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分（约70%）：标准二≥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分（70%）、标准三≥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分，标准五≥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000000"/>
                                <w:sz w:val="22"/>
                                <w:szCs w:val="21"/>
                              </w:rPr>
                              <w:t>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7.85pt;margin-top:5.1pt;height:110.55pt;width:468pt;z-index:251659264;mso-width-relative:page;mso-height-relative:margin;mso-height-percent:200;" filled="f" stroked="t" coordsize="21600,21600" o:gfxdata="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PB7QY2AAAAAoBAAAPAAAAAAAAAAEAIAAAACIAAABkcnMvZG93&#10;bnJldi54bWxQSwECFAAUAAAACACHTuJAIBFPATkCAABVBAAADgAAAAAAAAABACAAAAAnAQAAZHJz&#10;L2Uyb0RvYy54bWxQSwUGAAAAAAYABgBZAQAA0gUAAAAA&#10;">
                <v:fill on="f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619E539C">
                      <w:pPr>
                        <w:spacing w:line="320" w:lineRule="exact"/>
                        <w:ind w:firstLine="440" w:firstLineChars="200"/>
                        <w:rPr>
                          <w:rFonts w:ascii="华文楷体" w:hAnsi="华文楷体" w:eastAsia="华文楷体"/>
                          <w:color w:val="000000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课程评审采用“</w:t>
                      </w:r>
                      <w:bookmarkStart w:id="0" w:name="_Hlk59007246"/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FD-QM高等教育智慧课程质量标准及注释</w:t>
                      </w:r>
                      <w:bookmarkEnd w:id="0"/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（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  <w:lang w:val="en-US" w:eastAsia="zh-CN"/>
                        </w:rPr>
                        <w:t>试用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版）”，该标准由复旦大学教师教学发展中心领衔全国FD-QM</w:t>
                      </w:r>
                      <w:r>
                        <w:rPr>
                          <w:rFonts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联盟团队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与国际在线教育专业评估机构Quality Matters (QM)联合研制，202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年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月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  <w:lang w:val="en-US" w:eastAsia="zh-CN"/>
                        </w:rPr>
                        <w:t>试运行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，共有8大类标准3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个小类指标，满分为8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分。</w:t>
                      </w:r>
                    </w:p>
                    <w:p w14:paraId="1B5B9AB9">
                      <w:pPr>
                        <w:spacing w:line="320" w:lineRule="exact"/>
                        <w:ind w:firstLine="440" w:firstLineChars="200"/>
                        <w:rPr>
                          <w:rFonts w:ascii="华文楷体" w:hAnsi="华文楷体" w:eastAsia="华文楷体"/>
                          <w:sz w:val="22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被评审课程需同时满足以下两个要求，方可通过评审：（1）总分≥5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分；（2）大类标准二、三、五为重点评审内容，3项的达标分合计不低于2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分（约70%）：标准二≥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分（70%）、标准三≥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分，标准五≥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华文楷体" w:hAnsi="华文楷体" w:eastAsia="华文楷体"/>
                          <w:color w:val="000000"/>
                          <w:sz w:val="22"/>
                          <w:szCs w:val="21"/>
                        </w:rPr>
                        <w:t>分。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603E4C">
      <w:pPr>
        <w:spacing w:line="480" w:lineRule="exact"/>
        <w:rPr>
          <w:b/>
          <w:sz w:val="24"/>
          <w:szCs w:val="24"/>
        </w:rPr>
      </w:pPr>
    </w:p>
    <w:p w14:paraId="098158B8">
      <w:pPr>
        <w:spacing w:line="480" w:lineRule="exact"/>
        <w:rPr>
          <w:b/>
          <w:sz w:val="24"/>
          <w:szCs w:val="24"/>
        </w:rPr>
      </w:pPr>
    </w:p>
    <w:p w14:paraId="6D676DE1">
      <w:pPr>
        <w:spacing w:line="480" w:lineRule="exact"/>
        <w:rPr>
          <w:b/>
          <w:sz w:val="24"/>
          <w:szCs w:val="24"/>
        </w:rPr>
      </w:pPr>
    </w:p>
    <w:p w14:paraId="6B9B072A">
      <w:pPr>
        <w:wordWrap w:val="0"/>
        <w:spacing w:line="480" w:lineRule="exact"/>
        <w:jc w:val="left"/>
        <w:rPr>
          <w:sz w:val="24"/>
          <w:szCs w:val="24"/>
          <w:u w:val="single"/>
        </w:rPr>
      </w:pPr>
    </w:p>
    <w:p w14:paraId="40C3C6A4">
      <w:pPr>
        <w:wordWrap w:val="0"/>
        <w:spacing w:line="480" w:lineRule="exact"/>
        <w:jc w:val="left"/>
        <w:rPr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40"/>
        </w:rPr>
        <w:t>一</w:t>
      </w:r>
      <w:r>
        <w:rPr>
          <w:rFonts w:ascii="微软雅黑" w:hAnsi="微软雅黑" w:eastAsia="微软雅黑" w:cs="微软雅黑"/>
          <w:b/>
          <w:kern w:val="0"/>
          <w:sz w:val="24"/>
          <w:szCs w:val="40"/>
        </w:rPr>
        <w:t>、课程信息</w:t>
      </w:r>
      <w:r>
        <w:rPr>
          <w:rFonts w:hint="eastAsia" w:ascii="微软雅黑" w:hAnsi="微软雅黑" w:eastAsia="微软雅黑" w:cs="微软雅黑"/>
          <w:b/>
          <w:kern w:val="0"/>
          <w:sz w:val="24"/>
          <w:szCs w:val="40"/>
        </w:rPr>
        <w:t>与评分结果</w:t>
      </w:r>
      <w:r>
        <w:rPr>
          <w:rFonts w:ascii="微软雅黑" w:hAnsi="微软雅黑" w:eastAsia="微软雅黑" w:cs="微软雅黑"/>
          <w:b/>
          <w:kern w:val="0"/>
          <w:sz w:val="24"/>
          <w:szCs w:val="40"/>
        </w:rPr>
        <w:t>统计</w:t>
      </w:r>
    </w:p>
    <w:tbl>
      <w:tblPr>
        <w:tblStyle w:val="8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711"/>
        <w:gridCol w:w="901"/>
        <w:gridCol w:w="901"/>
        <w:gridCol w:w="793"/>
        <w:gridCol w:w="817"/>
        <w:gridCol w:w="743"/>
        <w:gridCol w:w="679"/>
        <w:gridCol w:w="711"/>
        <w:gridCol w:w="1308"/>
      </w:tblGrid>
      <w:tr w14:paraId="3A80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shd w:val="clear" w:color="auto" w:fill="auto"/>
          </w:tcPr>
          <w:p w14:paraId="7291D3C7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123" w:type="dxa"/>
            <w:gridSpan w:val="5"/>
            <w:shd w:val="clear" w:color="auto" w:fill="auto"/>
          </w:tcPr>
          <w:p w14:paraId="28F361B6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14:paraId="2EE767DC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019" w:type="dxa"/>
            <w:gridSpan w:val="2"/>
            <w:shd w:val="clear" w:color="auto" w:fill="auto"/>
          </w:tcPr>
          <w:p w14:paraId="1A028059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</w:p>
        </w:tc>
      </w:tr>
      <w:tr w14:paraId="24A7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tcBorders>
              <w:bottom w:val="single" w:color="auto" w:sz="4" w:space="0"/>
            </w:tcBorders>
            <w:shd w:val="clear" w:color="auto" w:fill="auto"/>
          </w:tcPr>
          <w:p w14:paraId="3990B581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课程所属院校</w:t>
            </w:r>
          </w:p>
        </w:tc>
        <w:tc>
          <w:tcPr>
            <w:tcW w:w="7564" w:type="dxa"/>
            <w:gridSpan w:val="9"/>
            <w:tcBorders>
              <w:bottom w:val="single" w:color="auto" w:sz="4" w:space="0"/>
            </w:tcBorders>
            <w:shd w:val="clear" w:color="auto" w:fill="auto"/>
          </w:tcPr>
          <w:p w14:paraId="00696238">
            <w:pPr>
              <w:autoSpaceDE w:val="0"/>
              <w:autoSpaceDN w:val="0"/>
              <w:adjustRightInd w:val="0"/>
              <w:jc w:val="left"/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 w14:paraId="1528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shd w:val="clear" w:color="auto" w:fill="auto"/>
          </w:tcPr>
          <w:p w14:paraId="76141B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在线课程网址及登陆信息</w:t>
            </w:r>
          </w:p>
        </w:tc>
        <w:tc>
          <w:tcPr>
            <w:tcW w:w="7564" w:type="dxa"/>
            <w:gridSpan w:val="9"/>
            <w:shd w:val="clear" w:color="auto" w:fill="auto"/>
          </w:tcPr>
          <w:p w14:paraId="50A5FA88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</w:p>
        </w:tc>
      </w:tr>
      <w:tr w14:paraId="34B0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792" w:type="dxa"/>
            <w:shd w:val="clear" w:color="auto" w:fill="D8D8D8" w:themeFill="background1" w:themeFillShade="D9"/>
          </w:tcPr>
          <w:p w14:paraId="0739CF2B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标准大类</w:t>
            </w:r>
          </w:p>
        </w:tc>
        <w:tc>
          <w:tcPr>
            <w:tcW w:w="711" w:type="dxa"/>
            <w:shd w:val="clear" w:color="auto" w:fill="D8D8D8" w:themeFill="background1" w:themeFillShade="D9"/>
          </w:tcPr>
          <w:p w14:paraId="65AC9349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一</w:t>
            </w:r>
          </w:p>
        </w:tc>
        <w:tc>
          <w:tcPr>
            <w:tcW w:w="901" w:type="dxa"/>
            <w:shd w:val="clear" w:color="auto" w:fill="D8D8D8" w:themeFill="background1" w:themeFillShade="D9"/>
          </w:tcPr>
          <w:p w14:paraId="4BBE5D38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901" w:type="dxa"/>
            <w:shd w:val="clear" w:color="auto" w:fill="D8D8D8" w:themeFill="background1" w:themeFillShade="D9"/>
          </w:tcPr>
          <w:p w14:paraId="3C103D73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t>三</w:t>
            </w:r>
          </w:p>
        </w:tc>
        <w:tc>
          <w:tcPr>
            <w:tcW w:w="793" w:type="dxa"/>
            <w:shd w:val="clear" w:color="auto" w:fill="D8D8D8" w:themeFill="background1" w:themeFillShade="D9"/>
          </w:tcPr>
          <w:p w14:paraId="7A8E0FB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四</w:t>
            </w:r>
          </w:p>
        </w:tc>
        <w:tc>
          <w:tcPr>
            <w:tcW w:w="817" w:type="dxa"/>
            <w:shd w:val="clear" w:color="auto" w:fill="D8D8D8" w:themeFill="background1" w:themeFillShade="D9"/>
          </w:tcPr>
          <w:p w14:paraId="1B132880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t>五</w:t>
            </w:r>
          </w:p>
        </w:tc>
        <w:tc>
          <w:tcPr>
            <w:tcW w:w="743" w:type="dxa"/>
            <w:shd w:val="clear" w:color="auto" w:fill="D8D8D8" w:themeFill="background1" w:themeFillShade="D9"/>
          </w:tcPr>
          <w:p w14:paraId="4F6E3180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六</w:t>
            </w:r>
          </w:p>
        </w:tc>
        <w:tc>
          <w:tcPr>
            <w:tcW w:w="679" w:type="dxa"/>
            <w:shd w:val="clear" w:color="auto" w:fill="D8D8D8" w:themeFill="background1" w:themeFillShade="D9"/>
          </w:tcPr>
          <w:p w14:paraId="1D203638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七</w:t>
            </w:r>
          </w:p>
        </w:tc>
        <w:tc>
          <w:tcPr>
            <w:tcW w:w="711" w:type="dxa"/>
            <w:shd w:val="clear" w:color="auto" w:fill="D8D8D8" w:themeFill="background1" w:themeFillShade="D9"/>
          </w:tcPr>
          <w:p w14:paraId="5355FFA4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八</w:t>
            </w:r>
          </w:p>
        </w:tc>
        <w:tc>
          <w:tcPr>
            <w:tcW w:w="1308" w:type="dxa"/>
            <w:shd w:val="clear" w:color="auto" w:fill="D8D8D8" w:themeFill="background1" w:themeFillShade="D9"/>
          </w:tcPr>
          <w:p w14:paraId="6F44B293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t>总分</w:t>
            </w:r>
          </w:p>
        </w:tc>
      </w:tr>
      <w:tr w14:paraId="465A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92" w:type="dxa"/>
            <w:shd w:val="clear" w:color="auto" w:fill="D8D8D8" w:themeFill="background1" w:themeFillShade="D9"/>
          </w:tcPr>
          <w:p w14:paraId="0CB883E4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大类满分</w:t>
            </w:r>
          </w:p>
        </w:tc>
        <w:tc>
          <w:tcPr>
            <w:tcW w:w="711" w:type="dxa"/>
            <w:shd w:val="clear" w:color="auto" w:fill="D8D8D8" w:themeFill="background1" w:themeFillShade="D9"/>
          </w:tcPr>
          <w:p w14:paraId="1E7FB915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t>0</w:t>
            </w:r>
          </w:p>
        </w:tc>
        <w:tc>
          <w:tcPr>
            <w:tcW w:w="901" w:type="dxa"/>
            <w:shd w:val="clear" w:color="auto" w:fill="D8D8D8" w:themeFill="background1" w:themeFillShade="D9"/>
          </w:tcPr>
          <w:p w14:paraId="07E1A1F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shd w:val="clear" w:color="auto" w:fill="D8D8D8" w:themeFill="background1" w:themeFillShade="D9"/>
          </w:tcPr>
          <w:p w14:paraId="06321E4A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793" w:type="dxa"/>
            <w:shd w:val="clear" w:color="auto" w:fill="D8D8D8" w:themeFill="background1" w:themeFillShade="D9"/>
          </w:tcPr>
          <w:p w14:paraId="5AC76F1E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817" w:type="dxa"/>
            <w:shd w:val="clear" w:color="auto" w:fill="D8D8D8" w:themeFill="background1" w:themeFillShade="D9"/>
          </w:tcPr>
          <w:p w14:paraId="2A7036F7">
            <w:pPr>
              <w:autoSpaceDE w:val="0"/>
              <w:autoSpaceDN w:val="0"/>
              <w:adjustRightInd w:val="0"/>
              <w:jc w:val="center"/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1</w:t>
            </w: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43" w:type="dxa"/>
            <w:shd w:val="clear" w:color="auto" w:fill="D8D8D8" w:themeFill="background1" w:themeFillShade="D9"/>
          </w:tcPr>
          <w:p w14:paraId="29EA1AA4">
            <w:pPr>
              <w:autoSpaceDE w:val="0"/>
              <w:autoSpaceDN w:val="0"/>
              <w:adjustRightInd w:val="0"/>
              <w:jc w:val="center"/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9" w:type="dxa"/>
            <w:shd w:val="clear" w:color="auto" w:fill="D8D8D8" w:themeFill="background1" w:themeFillShade="D9"/>
          </w:tcPr>
          <w:p w14:paraId="48783857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711" w:type="dxa"/>
            <w:shd w:val="clear" w:color="auto" w:fill="D8D8D8" w:themeFill="background1" w:themeFillShade="D9"/>
          </w:tcPr>
          <w:p w14:paraId="2EE116A6">
            <w:pPr>
              <w:autoSpaceDE w:val="0"/>
              <w:autoSpaceDN w:val="0"/>
              <w:adjustRightInd w:val="0"/>
              <w:jc w:val="center"/>
              <w:rPr>
                <w:rFonts w:hint="default" w:ascii="华文楷体" w:hAnsi="华文楷体" w:eastAsia="华文楷体" w:cs="MingLiU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08" w:type="dxa"/>
            <w:shd w:val="clear" w:color="auto" w:fill="D8D8D8" w:themeFill="background1" w:themeFillShade="D9"/>
          </w:tcPr>
          <w:p w14:paraId="2B4AC5C2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fldChar w:fldCharType="begin"/>
            </w: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instrText xml:space="preserve"> =SUM(LEFT) </w:instrText>
            </w: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t>8</w:t>
            </w: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fldChar w:fldCharType="end"/>
            </w:r>
          </w:p>
        </w:tc>
      </w:tr>
      <w:tr w14:paraId="6EAC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92" w:type="dxa"/>
            <w:shd w:val="clear" w:color="auto" w:fill="D8D8D8" w:themeFill="background1" w:themeFillShade="D9"/>
          </w:tcPr>
          <w:p w14:paraId="5BD33C71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达标分值</w:t>
            </w:r>
          </w:p>
        </w:tc>
        <w:tc>
          <w:tcPr>
            <w:tcW w:w="711" w:type="dxa"/>
            <w:shd w:val="clear" w:color="auto" w:fill="D8D8D8" w:themeFill="background1" w:themeFillShade="D9"/>
          </w:tcPr>
          <w:p w14:paraId="459C1E84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D8D8D8" w:themeFill="background1" w:themeFillShade="D9"/>
          </w:tcPr>
          <w:p w14:paraId="217001F0">
            <w:pPr>
              <w:autoSpaceDE w:val="0"/>
              <w:autoSpaceDN w:val="0"/>
              <w:adjustRightInd w:val="0"/>
              <w:jc w:val="center"/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≥</w:t>
            </w: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  <w:lang w:val="en-US" w:eastAsia="zh-CN"/>
              </w:rPr>
              <w:t>9</w:t>
            </w:r>
            <w:bookmarkStart w:id="1" w:name="_GoBack"/>
            <w:bookmarkEnd w:id="1"/>
          </w:p>
        </w:tc>
        <w:tc>
          <w:tcPr>
            <w:tcW w:w="901" w:type="dxa"/>
            <w:shd w:val="clear" w:color="auto" w:fill="D8D8D8" w:themeFill="background1" w:themeFillShade="D9"/>
          </w:tcPr>
          <w:p w14:paraId="53ADF2C3">
            <w:pPr>
              <w:autoSpaceDE w:val="0"/>
              <w:autoSpaceDN w:val="0"/>
              <w:adjustRightInd w:val="0"/>
              <w:jc w:val="center"/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≥</w:t>
            </w: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93" w:type="dxa"/>
            <w:shd w:val="clear" w:color="auto" w:fill="D8D8D8" w:themeFill="background1" w:themeFillShade="D9"/>
          </w:tcPr>
          <w:p w14:paraId="5D07893A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D8D8D8" w:themeFill="background1" w:themeFillShade="D9"/>
          </w:tcPr>
          <w:p w14:paraId="12CC6B81">
            <w:pPr>
              <w:autoSpaceDE w:val="0"/>
              <w:autoSpaceDN w:val="0"/>
              <w:adjustRightInd w:val="0"/>
              <w:jc w:val="center"/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≥</w:t>
            </w: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3" w:type="dxa"/>
            <w:shd w:val="clear" w:color="auto" w:fill="D8D8D8" w:themeFill="background1" w:themeFillShade="D9"/>
          </w:tcPr>
          <w:p w14:paraId="4762057B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D8D8D8" w:themeFill="background1" w:themeFillShade="D9"/>
          </w:tcPr>
          <w:p w14:paraId="3DADA1E4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D8D8D8" w:themeFill="background1" w:themeFillShade="D9"/>
          </w:tcPr>
          <w:p w14:paraId="226138FD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D8D8D8" w:themeFill="background1" w:themeFillShade="D9"/>
          </w:tcPr>
          <w:p w14:paraId="7B6DF6CB">
            <w:pPr>
              <w:autoSpaceDE w:val="0"/>
              <w:autoSpaceDN w:val="0"/>
              <w:adjustRightInd w:val="0"/>
              <w:jc w:val="center"/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≥5</w:t>
            </w: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050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</w:tcPr>
          <w:p w14:paraId="6B2D5DDA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课程评分</w:t>
            </w:r>
          </w:p>
        </w:tc>
        <w:tc>
          <w:tcPr>
            <w:tcW w:w="711" w:type="dxa"/>
          </w:tcPr>
          <w:p w14:paraId="70C834B6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kern w:val="0"/>
                <w:sz w:val="24"/>
                <w:szCs w:val="24"/>
              </w:rPr>
            </w:pPr>
          </w:p>
        </w:tc>
        <w:tc>
          <w:tcPr>
            <w:tcW w:w="901" w:type="dxa"/>
          </w:tcPr>
          <w:p w14:paraId="519A054C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kern w:val="0"/>
                <w:sz w:val="24"/>
                <w:szCs w:val="24"/>
              </w:rPr>
            </w:pPr>
          </w:p>
        </w:tc>
        <w:tc>
          <w:tcPr>
            <w:tcW w:w="901" w:type="dxa"/>
          </w:tcPr>
          <w:p w14:paraId="1B60A940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kern w:val="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B9CB2C5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3799D629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kern w:val="0"/>
                <w:sz w:val="24"/>
                <w:szCs w:val="24"/>
              </w:rPr>
            </w:pPr>
          </w:p>
        </w:tc>
        <w:tc>
          <w:tcPr>
            <w:tcW w:w="743" w:type="dxa"/>
          </w:tcPr>
          <w:p w14:paraId="2462A1E4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kern w:val="0"/>
                <w:sz w:val="24"/>
                <w:szCs w:val="24"/>
              </w:rPr>
            </w:pPr>
          </w:p>
        </w:tc>
        <w:tc>
          <w:tcPr>
            <w:tcW w:w="679" w:type="dxa"/>
          </w:tcPr>
          <w:p w14:paraId="5C2F5589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4804E66B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kern w:val="0"/>
                <w:sz w:val="24"/>
                <w:szCs w:val="24"/>
              </w:rPr>
            </w:pPr>
          </w:p>
        </w:tc>
        <w:tc>
          <w:tcPr>
            <w:tcW w:w="1308" w:type="dxa"/>
          </w:tcPr>
          <w:p w14:paraId="02B28D24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kern w:val="0"/>
                <w:sz w:val="24"/>
                <w:szCs w:val="24"/>
              </w:rPr>
            </w:pPr>
          </w:p>
        </w:tc>
      </w:tr>
      <w:tr w14:paraId="22B7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</w:tcPr>
          <w:p w14:paraId="6DB2F647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学员</w:t>
            </w: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</w:tcPr>
          <w:p w14:paraId="695CA464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gridSpan w:val="2"/>
          </w:tcPr>
          <w:p w14:paraId="7BA0DCBB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所在</w:t>
            </w: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560" w:type="dxa"/>
            <w:gridSpan w:val="2"/>
          </w:tcPr>
          <w:p w14:paraId="1AE8BE22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2"/>
          </w:tcPr>
          <w:p w14:paraId="1A641666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MingLiU"/>
                <w:b/>
                <w:kern w:val="0"/>
                <w:sz w:val="24"/>
                <w:szCs w:val="24"/>
              </w:rPr>
              <w:t>评审</w:t>
            </w:r>
            <w:r>
              <w:rPr>
                <w:rFonts w:ascii="华文楷体" w:hAnsi="华文楷体" w:eastAsia="华文楷体" w:cs="MingLiU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1308" w:type="dxa"/>
          </w:tcPr>
          <w:p w14:paraId="7CD9B0B8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 w:cs="MingLiU"/>
                <w:kern w:val="0"/>
                <w:sz w:val="24"/>
                <w:szCs w:val="24"/>
              </w:rPr>
            </w:pPr>
          </w:p>
        </w:tc>
      </w:tr>
    </w:tbl>
    <w:p w14:paraId="6D8DC42E">
      <w:pPr>
        <w:spacing w:before="156" w:beforeLines="50" w:line="440" w:lineRule="exact"/>
        <w:rPr>
          <w:b/>
          <w:sz w:val="22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40"/>
        </w:rPr>
        <w:t>二</w:t>
      </w:r>
      <w:r>
        <w:rPr>
          <w:rFonts w:ascii="微软雅黑" w:hAnsi="微软雅黑" w:eastAsia="微软雅黑" w:cs="微软雅黑"/>
          <w:b/>
          <w:kern w:val="0"/>
          <w:sz w:val="24"/>
          <w:szCs w:val="40"/>
        </w:rPr>
        <w:t>、分类评分及建议</w:t>
      </w:r>
    </w:p>
    <w:p w14:paraId="3F3CF7EC">
      <w:pPr>
        <w:rPr>
          <w:color w:val="000000"/>
          <w:sz w:val="22"/>
          <w:shd w:val="clear" w:color="auto" w:fill="FFFFFF"/>
        </w:rPr>
      </w:pPr>
      <w:r>
        <w:rPr>
          <w:rFonts w:hint="eastAsia"/>
          <w:bCs/>
          <w:sz w:val="22"/>
        </w:rPr>
        <w:t>说明：</w:t>
      </w:r>
      <w:r>
        <w:rPr>
          <w:rFonts w:hint="eastAsia"/>
          <w:color w:val="000000"/>
          <w:sz w:val="22"/>
          <w:shd w:val="clear" w:color="auto" w:fill="FFFFFF"/>
        </w:rPr>
        <w:t>（1）请在“</w:t>
      </w:r>
      <w:r>
        <w:rPr>
          <w:rFonts w:hint="eastAsia"/>
          <w:color w:val="000000"/>
          <w:sz w:val="22"/>
          <w:shd w:val="clear" w:color="auto" w:fill="FFFFFF"/>
          <w:lang w:val="en-US" w:eastAsia="zh-CN"/>
        </w:rPr>
        <w:t>打分</w:t>
      </w:r>
      <w:r>
        <w:rPr>
          <w:rFonts w:hint="eastAsia"/>
          <w:color w:val="000000"/>
          <w:sz w:val="22"/>
          <w:shd w:val="clear" w:color="auto" w:fill="FFFFFF"/>
        </w:rPr>
        <w:t>”一栏中填写您的评审决定：符合的</w:t>
      </w:r>
      <w:r>
        <w:rPr>
          <w:rFonts w:hint="eastAsia"/>
          <w:b/>
          <w:bCs/>
          <w:color w:val="000000"/>
          <w:sz w:val="22"/>
        </w:rPr>
        <w:t>给全部</w:t>
      </w:r>
      <w:r>
        <w:rPr>
          <w:b/>
          <w:bCs/>
          <w:color w:val="000000"/>
          <w:sz w:val="22"/>
        </w:rPr>
        <w:t>分值</w:t>
      </w:r>
      <w:r>
        <w:rPr>
          <w:rFonts w:hint="eastAsia"/>
          <w:color w:val="000000"/>
          <w:sz w:val="22"/>
          <w:shd w:val="clear" w:color="auto" w:fill="FFFFFF"/>
        </w:rPr>
        <w:t>、不符合的</w:t>
      </w:r>
      <w:r>
        <w:rPr>
          <w:rFonts w:hint="eastAsia"/>
          <w:b/>
          <w:color w:val="000000"/>
          <w:sz w:val="22"/>
          <w:shd w:val="clear" w:color="auto" w:fill="FFFFFF"/>
        </w:rPr>
        <w:t>为0分</w:t>
      </w:r>
      <w:r>
        <w:rPr>
          <w:rFonts w:hint="eastAsia"/>
          <w:color w:val="000000"/>
          <w:sz w:val="22"/>
          <w:shd w:val="clear" w:color="auto" w:fill="FFFFFF"/>
        </w:rPr>
        <w:t>，若觉得该标准不合适作为评审，可标注</w:t>
      </w:r>
      <w:r>
        <w:rPr>
          <w:rFonts w:hint="eastAsia"/>
          <w:b/>
          <w:bCs/>
          <w:color w:val="000000"/>
          <w:sz w:val="22"/>
        </w:rPr>
        <w:t>“不适用”</w:t>
      </w:r>
      <w:r>
        <w:rPr>
          <w:rFonts w:hint="eastAsia"/>
          <w:color w:val="000000"/>
          <w:sz w:val="22"/>
          <w:shd w:val="clear" w:color="auto" w:fill="FFFFFF"/>
        </w:rPr>
        <w:t>；</w:t>
      </w:r>
    </w:p>
    <w:p w14:paraId="06F8AD0E">
      <w:pPr>
        <w:ind w:firstLine="660" w:firstLineChars="300"/>
        <w:rPr>
          <w:sz w:val="22"/>
        </w:rPr>
      </w:pPr>
      <w:r>
        <w:rPr>
          <w:rFonts w:hint="eastAsia"/>
          <w:color w:val="000000"/>
          <w:sz w:val="22"/>
          <w:shd w:val="clear" w:color="auto" w:fill="FFFFFF"/>
        </w:rPr>
        <w:t>（2）请在“说明”一栏中说明您的评审决定的具体依据。</w:t>
      </w:r>
    </w:p>
    <w:tbl>
      <w:tblPr>
        <w:tblStyle w:val="8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8"/>
        <w:gridCol w:w="894"/>
        <w:gridCol w:w="4872"/>
      </w:tblGrid>
      <w:tr w14:paraId="53AA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4" w:type="dxa"/>
            <w:gridSpan w:val="3"/>
            <w:shd w:val="clear" w:color="auto" w:fill="D8D8D8" w:themeFill="background1" w:themeFillShade="D9"/>
          </w:tcPr>
          <w:p w14:paraId="4A1FFDFD">
            <w:pPr>
              <w:autoSpaceDE w:val="0"/>
              <w:autoSpaceDN w:val="0"/>
              <w:adjustRightInd w:val="0"/>
              <w:jc w:val="left"/>
              <w:rPr>
                <w:rFonts w:cs="MingLiU" w:asciiTheme="majorEastAsia" w:hAnsiTheme="majorEastAsia" w:eastAsiaTheme="maj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>大类标准1</w:t>
            </w:r>
            <w:r>
              <w:rPr>
                <w:rFonts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>课程概况：在课程开始阶段，应向学生清晰地介绍本课程的整体设计。</w:t>
            </w:r>
          </w:p>
        </w:tc>
      </w:tr>
      <w:tr w14:paraId="3701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shd w:val="clear" w:color="auto" w:fill="D8D8D8" w:themeFill="background1" w:themeFillShade="D9"/>
          </w:tcPr>
          <w:p w14:paraId="3E10F30F">
            <w:pPr>
              <w:autoSpaceDE w:val="0"/>
              <w:autoSpaceDN w:val="0"/>
              <w:adjustRightInd w:val="0"/>
              <w:jc w:val="center"/>
              <w:rPr>
                <w:rFonts w:cs="MingLiU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MingLiU" w:asciiTheme="majorEastAsia" w:hAnsiTheme="majorEastAsia" w:eastAsiaTheme="majorEastAsia"/>
                <w:color w:val="000000"/>
                <w:kern w:val="0"/>
                <w:sz w:val="22"/>
              </w:rPr>
              <w:t>具体标准</w:t>
            </w:r>
          </w:p>
        </w:tc>
        <w:tc>
          <w:tcPr>
            <w:tcW w:w="894" w:type="dxa"/>
            <w:shd w:val="clear" w:color="auto" w:fill="D8D8D8" w:themeFill="background1" w:themeFillShade="D9"/>
          </w:tcPr>
          <w:p w14:paraId="76EA25B8">
            <w:pPr>
              <w:autoSpaceDE w:val="0"/>
              <w:autoSpaceDN w:val="0"/>
              <w:adjustRightInd w:val="0"/>
              <w:jc w:val="center"/>
              <w:rPr>
                <w:rFonts w:cs="MingLiU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MingLiU" w:asciiTheme="majorEastAsia" w:hAnsiTheme="majorEastAsia" w:eastAsiaTheme="majorEastAsia"/>
                <w:color w:val="000000"/>
                <w:kern w:val="0"/>
                <w:sz w:val="22"/>
              </w:rPr>
              <w:t>打分</w:t>
            </w:r>
          </w:p>
        </w:tc>
        <w:tc>
          <w:tcPr>
            <w:tcW w:w="4872" w:type="dxa"/>
            <w:shd w:val="clear" w:color="auto" w:fill="D8D8D8" w:themeFill="background1" w:themeFillShade="D9"/>
          </w:tcPr>
          <w:p w14:paraId="22D6DFAD">
            <w:pPr>
              <w:autoSpaceDE w:val="0"/>
              <w:autoSpaceDN w:val="0"/>
              <w:adjustRightInd w:val="0"/>
              <w:jc w:val="center"/>
              <w:rPr>
                <w:rFonts w:cs="MingLiU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MingLiU" w:asciiTheme="majorEastAsia" w:hAnsiTheme="majorEastAsia" w:eastAsiaTheme="majorEastAsia"/>
                <w:color w:val="000000"/>
                <w:kern w:val="0"/>
                <w:sz w:val="22"/>
              </w:rPr>
              <w:t>说明</w:t>
            </w:r>
          </w:p>
        </w:tc>
      </w:tr>
      <w:tr w14:paraId="12E7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20D7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向学生明确说明应该如何开启课程学习。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1919DF49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  <w:r>
              <w:rPr>
                <w:rFonts w:hint="eastAsia" w:ascii="MingLiU" w:cs="MingLiU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872" w:type="dxa"/>
            <w:vMerge w:val="restart"/>
            <w:vAlign w:val="center"/>
          </w:tcPr>
          <w:p w14:paraId="4C564222">
            <w:pPr>
              <w:widowControl/>
              <w:jc w:val="left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56C5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D327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向学生介绍本课程的目的和学习进程安排。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582123C9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672B5996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01C5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587C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明确说明学生必须遵守的课程规则。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分）</w:t>
            </w:r>
          </w:p>
        </w:tc>
        <w:tc>
          <w:tcPr>
            <w:tcW w:w="894" w:type="dxa"/>
            <w:vAlign w:val="center"/>
          </w:tcPr>
          <w:p w14:paraId="5EA58358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5992CE59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67CF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A30A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1.4</w:t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</w:rPr>
              <w:t>明确说明学习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课程应具备的</w:t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</w:rPr>
              <w:t>学科知识与数智技能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分）</w:t>
            </w:r>
          </w:p>
        </w:tc>
        <w:tc>
          <w:tcPr>
            <w:tcW w:w="894" w:type="dxa"/>
            <w:vAlign w:val="center"/>
          </w:tcPr>
          <w:p w14:paraId="58BA339F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5337A9DE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7927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3F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napToGrid w:val="0"/>
              <w:spacing w:before="181" w:beforeLines="50"/>
              <w:ind w:right="34" w:rightChars="0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学生在网上提供恰当的自我介绍。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分）</w:t>
            </w:r>
          </w:p>
        </w:tc>
        <w:tc>
          <w:tcPr>
            <w:tcW w:w="894" w:type="dxa"/>
            <w:vAlign w:val="center"/>
          </w:tcPr>
          <w:p w14:paraId="156F0C8B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328D19F5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1DEB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464" w:type="dxa"/>
            <w:gridSpan w:val="3"/>
            <w:shd w:val="clear" w:color="auto" w:fill="D8D8D8" w:themeFill="background1" w:themeFillShade="D9"/>
          </w:tcPr>
          <w:p w14:paraId="6C79248B">
            <w:pPr>
              <w:widowControl/>
              <w:jc w:val="left"/>
              <w:rPr>
                <w:rFonts w:ascii="MingLiU" w:cs="MingLiU"/>
                <w:b/>
                <w:color w:val="000000"/>
                <w:kern w:val="0"/>
                <w:sz w:val="22"/>
              </w:rPr>
            </w:pPr>
            <w:r>
              <w:rPr>
                <w:rFonts w:hint="eastAsia"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>大类标准2</w:t>
            </w:r>
            <w:r>
              <w:rPr>
                <w:rFonts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>学习目标：</w:t>
            </w:r>
            <w:r>
              <w:rPr>
                <w:rFonts w:hint="eastAsia" w:cs="MingLiU" w:asciiTheme="majorEastAsia" w:hAnsiTheme="majorEastAsia" w:eastAsiaTheme="majorEastAsia"/>
                <w:b/>
                <w:color w:val="000000"/>
                <w:kern w:val="0"/>
                <w:sz w:val="22"/>
                <w:lang w:eastAsia="zh-CN"/>
              </w:rPr>
              <w:t>学习目标应以学生全面发展的理念为指导，并结合智慧课程的优势，明确学生在课程结束后达到的认知、技能和情感的发展成果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。</w:t>
            </w:r>
          </w:p>
        </w:tc>
      </w:tr>
      <w:tr w14:paraId="2AE7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shd w:val="clear" w:color="auto" w:fill="D8D8D8" w:themeFill="background1" w:themeFillShade="D9"/>
          </w:tcPr>
          <w:p w14:paraId="44A7D83E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具体标准</w:t>
            </w:r>
          </w:p>
        </w:tc>
        <w:tc>
          <w:tcPr>
            <w:tcW w:w="894" w:type="dxa"/>
            <w:shd w:val="clear" w:color="auto" w:fill="D8D8D8" w:themeFill="background1" w:themeFillShade="D9"/>
          </w:tcPr>
          <w:p w14:paraId="535F82BA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cs="MingLiU" w:asciiTheme="majorEastAsia" w:hAnsiTheme="majorEastAsia" w:eastAsiaTheme="majorEastAsia"/>
                <w:color w:val="000000"/>
                <w:kern w:val="0"/>
                <w:sz w:val="22"/>
              </w:rPr>
              <w:t>打分</w:t>
            </w:r>
          </w:p>
        </w:tc>
        <w:tc>
          <w:tcPr>
            <w:tcW w:w="4872" w:type="dxa"/>
            <w:shd w:val="clear" w:color="auto" w:fill="D8D8D8" w:themeFill="background1" w:themeFillShade="D9"/>
          </w:tcPr>
          <w:p w14:paraId="13ED067B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说明</w:t>
            </w:r>
          </w:p>
        </w:tc>
      </w:tr>
      <w:tr w14:paraId="7EC7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88DB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2.1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学习目标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是一系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列可衡量的学习结果，并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从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容易理解的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角度加以描述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5B3D9F6E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restart"/>
            <w:vAlign w:val="center"/>
          </w:tcPr>
          <w:p w14:paraId="4D42A096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597B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EBED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2.2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课程学习目标反映在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课程各单元的目标设计中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5B7F32C8">
            <w:pPr>
              <w:autoSpaceDE w:val="0"/>
              <w:autoSpaceDN w:val="0"/>
              <w:adjustRightInd w:val="0"/>
              <w:jc w:val="center"/>
              <w:rPr>
                <w:rFonts w:hint="eastAsia" w:ascii="MingLiU" w:cs="MingLiU" w:eastAsiaTheme="minor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1D32AB4F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6700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D4F3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2.3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明确解释学习目标与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课程活动之间的关系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7A13CEC0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6990887F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0005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52C7D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2.4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学习目标符合课程类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型和水平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7C5043E4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4AAA47C8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58CE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4" w:type="dxa"/>
            <w:gridSpan w:val="3"/>
            <w:shd w:val="clear" w:color="auto" w:fill="D8D8D8" w:themeFill="background1" w:themeFillShade="D9"/>
          </w:tcPr>
          <w:p w14:paraId="34398A68">
            <w:pPr>
              <w:widowControl/>
              <w:jc w:val="left"/>
              <w:rPr>
                <w:rFonts w:ascii="MingLiU" w:cs="MingLiU"/>
                <w:color w:val="000000"/>
                <w:kern w:val="0"/>
                <w:szCs w:val="21"/>
              </w:rPr>
            </w:pPr>
            <w:r>
              <w:rPr>
                <w:rFonts w:hint="eastAsia"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 xml:space="preserve">大类标准3 学习测评: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测评是学习过程中的关键环节，旨在评估学生实现学习目标的进展情况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。</w:t>
            </w:r>
          </w:p>
        </w:tc>
      </w:tr>
      <w:tr w14:paraId="37AA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shd w:val="clear" w:color="auto" w:fill="D8D8D8" w:themeFill="background1" w:themeFillShade="D9"/>
          </w:tcPr>
          <w:p w14:paraId="5B734793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具体标准</w:t>
            </w:r>
          </w:p>
        </w:tc>
        <w:tc>
          <w:tcPr>
            <w:tcW w:w="894" w:type="dxa"/>
            <w:shd w:val="clear" w:color="auto" w:fill="D8D8D8" w:themeFill="background1" w:themeFillShade="D9"/>
          </w:tcPr>
          <w:p w14:paraId="6656AE38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cs="MingLiU" w:asciiTheme="majorEastAsia" w:hAnsiTheme="majorEastAsia" w:eastAsiaTheme="majorEastAsia"/>
                <w:color w:val="000000"/>
                <w:kern w:val="0"/>
                <w:sz w:val="22"/>
              </w:rPr>
              <w:t>打分</w:t>
            </w:r>
          </w:p>
        </w:tc>
        <w:tc>
          <w:tcPr>
            <w:tcW w:w="4872" w:type="dxa"/>
            <w:shd w:val="clear" w:color="auto" w:fill="D8D8D8" w:themeFill="background1" w:themeFillShade="D9"/>
          </w:tcPr>
          <w:p w14:paraId="31E1899A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说明</w:t>
            </w:r>
          </w:p>
        </w:tc>
      </w:tr>
      <w:tr w14:paraId="6FB6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C9DDC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学习测评能衡量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是否达到规定的学习目标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2653DA59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restart"/>
            <w:vAlign w:val="center"/>
          </w:tcPr>
          <w:p w14:paraId="4D58E3CF">
            <w:pPr>
              <w:autoSpaceDE w:val="0"/>
              <w:autoSpaceDN w:val="0"/>
              <w:adjustRightInd w:val="0"/>
              <w:spacing w:line="300" w:lineRule="exact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5B17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94C7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明确说明课程成绩的评定规则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43587BDB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2BE35FD2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20D4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D1226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提供评估其学习行为和产出成果的具体标准，并说明与评分的关系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08ED766A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0146E7AD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00AA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18DA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测评应多种多样，循序渐进，适合课程的类型和水平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分）</w:t>
            </w:r>
          </w:p>
        </w:tc>
        <w:tc>
          <w:tcPr>
            <w:tcW w:w="894" w:type="dxa"/>
            <w:vAlign w:val="center"/>
          </w:tcPr>
          <w:p w14:paraId="12367C0D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79D37B65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00AB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0ED8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课程提供多次有益的反馈让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了解自己的学习进展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分）</w:t>
            </w:r>
          </w:p>
        </w:tc>
        <w:tc>
          <w:tcPr>
            <w:tcW w:w="894" w:type="dxa"/>
            <w:vAlign w:val="center"/>
          </w:tcPr>
          <w:p w14:paraId="4121C1B7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283A942C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0BFE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4" w:type="dxa"/>
            <w:gridSpan w:val="3"/>
            <w:shd w:val="clear" w:color="auto" w:fill="D8D8D8" w:themeFill="background1" w:themeFillShade="D9"/>
          </w:tcPr>
          <w:p w14:paraId="7561CD7E">
            <w:pPr>
              <w:widowControl/>
              <w:jc w:val="left"/>
              <w:rPr>
                <w:rFonts w:ascii="MingLiU" w:cs="MingLiU"/>
                <w:color w:val="000000"/>
                <w:kern w:val="0"/>
                <w:szCs w:val="21"/>
              </w:rPr>
            </w:pPr>
            <w:r>
              <w:rPr>
                <w:rFonts w:hint="eastAsia"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>大类标准4 教学</w:t>
            </w:r>
            <w:r>
              <w:rPr>
                <w:rStyle w:val="19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shd w:val="clear" w:color="auto" w:fill="FFFFFF"/>
              </w:rPr>
              <w:t>资源</w:t>
            </w:r>
            <w:r>
              <w:rPr>
                <w:rStyle w:val="19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shd w:val="clear" w:color="auto" w:fill="FFFFFF"/>
                <w:lang w:eastAsia="zh-CN"/>
              </w:rPr>
              <w:t>：</w:t>
            </w:r>
            <w:r>
              <w:rPr>
                <w:rFonts w:hint="eastAsia"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>教学</w:t>
            </w:r>
            <w:r>
              <w:rPr>
                <w:rStyle w:val="19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shd w:val="clear" w:color="auto" w:fill="FFFFFF"/>
              </w:rPr>
              <w:t>资源是指在教学过程中教师和学生所使用的各种资料和工具，是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承载教学内容、支持学习目标达成的重要媒介。</w:t>
            </w:r>
          </w:p>
        </w:tc>
      </w:tr>
      <w:tr w14:paraId="765B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shd w:val="clear" w:color="auto" w:fill="D8D8D8" w:themeFill="background1" w:themeFillShade="D9"/>
          </w:tcPr>
          <w:p w14:paraId="35CFA11B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具体标准</w:t>
            </w:r>
          </w:p>
        </w:tc>
        <w:tc>
          <w:tcPr>
            <w:tcW w:w="894" w:type="dxa"/>
            <w:shd w:val="clear" w:color="auto" w:fill="D8D8D8" w:themeFill="background1" w:themeFillShade="D9"/>
          </w:tcPr>
          <w:p w14:paraId="6F1C32F1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cs="MingLiU" w:asciiTheme="majorEastAsia" w:hAnsiTheme="majorEastAsia" w:eastAsiaTheme="majorEastAsia"/>
                <w:color w:val="000000"/>
                <w:kern w:val="0"/>
                <w:sz w:val="22"/>
              </w:rPr>
              <w:t>打分</w:t>
            </w:r>
          </w:p>
        </w:tc>
        <w:tc>
          <w:tcPr>
            <w:tcW w:w="4872" w:type="dxa"/>
            <w:shd w:val="clear" w:color="auto" w:fill="D8D8D8" w:themeFill="background1" w:themeFillShade="D9"/>
          </w:tcPr>
          <w:p w14:paraId="792E30F6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说明</w:t>
            </w:r>
          </w:p>
        </w:tc>
      </w:tr>
      <w:tr w14:paraId="2210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B02DC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课程教学资源有助于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达到既定学习目标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5217EA1E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restart"/>
            <w:vAlign w:val="center"/>
          </w:tcPr>
          <w:p w14:paraId="5BA9F331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6464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0712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明确说明教学资源的目的以及它与学习活动的关系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60E5CC6B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5C136D5F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6908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DD76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课程教学资源仍然通用，不过时且多种多样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2"/>
              </w:rPr>
              <w:t>分）</w:t>
            </w:r>
          </w:p>
        </w:tc>
        <w:tc>
          <w:tcPr>
            <w:tcW w:w="894" w:type="dxa"/>
            <w:vAlign w:val="center"/>
          </w:tcPr>
          <w:p w14:paraId="7D656824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2601CF57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5FAF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75A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教学资源都要正确标注来源，引用得当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分）</w:t>
            </w:r>
          </w:p>
        </w:tc>
        <w:tc>
          <w:tcPr>
            <w:tcW w:w="894" w:type="dxa"/>
            <w:vAlign w:val="center"/>
          </w:tcPr>
          <w:p w14:paraId="70AD8A69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6F81CD3F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20CB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42875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明确解释必学资源和选学资源之间的区别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（1分）</w:t>
            </w:r>
          </w:p>
        </w:tc>
        <w:tc>
          <w:tcPr>
            <w:tcW w:w="894" w:type="dxa"/>
            <w:vAlign w:val="center"/>
          </w:tcPr>
          <w:p w14:paraId="2D19E7CD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7CB561EA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6582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" w:hRule="atLeast"/>
          <w:jc w:val="center"/>
        </w:trPr>
        <w:tc>
          <w:tcPr>
            <w:tcW w:w="9464" w:type="dxa"/>
            <w:gridSpan w:val="3"/>
            <w:shd w:val="clear" w:color="auto" w:fill="D8D8D8" w:themeFill="background1" w:themeFillShade="D9"/>
          </w:tcPr>
          <w:p w14:paraId="54A2399B">
            <w:pPr>
              <w:widowControl/>
              <w:jc w:val="left"/>
              <w:rPr>
                <w:rFonts w:ascii="MingLiU" w:cs="MingLiU"/>
                <w:color w:val="000000"/>
                <w:kern w:val="0"/>
                <w:szCs w:val="21"/>
              </w:rPr>
            </w:pPr>
            <w:r>
              <w:rPr>
                <w:rFonts w:hint="eastAsia"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>大类标准5 课程活动：</w:t>
            </w:r>
            <w:r>
              <w:rPr>
                <w:rFonts w:hint="eastAsia" w:cs="MingLiU" w:asciiTheme="majorEastAsia" w:hAnsiTheme="majorEastAsia" w:eastAsiaTheme="majorEastAsia"/>
                <w:b/>
                <w:color w:val="000000"/>
                <w:kern w:val="0"/>
                <w:sz w:val="22"/>
                <w:lang w:bidi="ar-SA"/>
              </w:rPr>
              <w:t>课程活动</w:t>
            </w:r>
            <w:r>
              <w:rPr>
                <w:rStyle w:val="19"/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包含以教师为主体的教学活动和以学生为主体的学习活动，也涵盖人工智能技术对这两种活动的赋能</w:t>
            </w:r>
            <w:r>
              <w:rPr>
                <w:rStyle w:val="19"/>
                <w:rFonts w:hint="eastAsia" w:ascii="宋体" w:hAnsi="宋体" w:eastAsia="宋体" w:cs="宋体"/>
                <w:b/>
                <w:color w:val="auto"/>
                <w:sz w:val="22"/>
                <w:szCs w:val="22"/>
                <w:lang w:eastAsia="zh-CN"/>
              </w:rPr>
              <w:t>。</w:t>
            </w:r>
            <w:r>
              <w:rPr>
                <w:rStyle w:val="19"/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课程活动应支持并促进</w:t>
            </w:r>
            <w:r>
              <w:rPr>
                <w:rStyle w:val="19"/>
                <w:rFonts w:hint="eastAsia" w:ascii="宋体" w:hAnsi="宋体" w:eastAsia="宋体" w:cs="宋体"/>
                <w:b/>
                <w:color w:val="auto"/>
                <w:sz w:val="22"/>
                <w:szCs w:val="22"/>
                <w:lang w:eastAsia="zh-CN"/>
              </w:rPr>
              <w:t>学生</w:t>
            </w:r>
            <w:r>
              <w:rPr>
                <w:rStyle w:val="19"/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的积极参与和互动</w:t>
            </w:r>
            <w:r>
              <w:rPr>
                <w:rFonts w:hint="eastAsia"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>。</w:t>
            </w:r>
          </w:p>
        </w:tc>
      </w:tr>
      <w:tr w14:paraId="3A6C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shd w:val="clear" w:color="auto" w:fill="D8D8D8" w:themeFill="background1" w:themeFillShade="D9"/>
          </w:tcPr>
          <w:p w14:paraId="50365BAD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具体标准</w:t>
            </w:r>
          </w:p>
        </w:tc>
        <w:tc>
          <w:tcPr>
            <w:tcW w:w="894" w:type="dxa"/>
            <w:shd w:val="clear" w:color="auto" w:fill="D8D8D8" w:themeFill="background1" w:themeFillShade="D9"/>
          </w:tcPr>
          <w:p w14:paraId="4436FF65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打分</w:t>
            </w:r>
          </w:p>
        </w:tc>
        <w:tc>
          <w:tcPr>
            <w:tcW w:w="4872" w:type="dxa"/>
            <w:shd w:val="clear" w:color="auto" w:fill="D8D8D8" w:themeFill="background1" w:themeFillShade="D9"/>
          </w:tcPr>
          <w:p w14:paraId="304FED58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说明</w:t>
            </w:r>
          </w:p>
        </w:tc>
      </w:tr>
      <w:tr w14:paraId="2A14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B0DD9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学习活动有助于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达成课程既定的学习目标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3ABF002D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restart"/>
            <w:vAlign w:val="center"/>
          </w:tcPr>
          <w:p w14:paraId="3E96F0A3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086C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33D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学习活动为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提供互动机会, 引导主动学习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0127B1E3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615617EF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0AD0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BC83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明确说明教师答疑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和作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业反馈等规划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并体现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数智技术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的应用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442A0CC9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434A0635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14D4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770CC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学习活动应多种多样、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体现渐进性，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构建个性化的学习路径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分）</w:t>
            </w:r>
          </w:p>
        </w:tc>
        <w:tc>
          <w:tcPr>
            <w:tcW w:w="894" w:type="dxa"/>
            <w:vAlign w:val="center"/>
          </w:tcPr>
          <w:p w14:paraId="4A9CFCEC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27845901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1B2E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BB1F9">
            <w:pPr>
              <w:widowControl/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default" w:eastAsia="宋体" w:cs="宋体" w:asciiTheme="minorAscii" w:hAnsiTheme="minorAscii"/>
                <w:color w:val="auto"/>
                <w:sz w:val="22"/>
                <w:szCs w:val="22"/>
              </w:rPr>
              <w:t>5.</w:t>
            </w:r>
            <w:r>
              <w:rPr>
                <w:rFonts w:hint="default" w:eastAsia="宋体" w:cs="宋体" w:asciiTheme="minorAscii" w:hAnsiTheme="minorAscii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明确规定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互动的要求。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分）</w:t>
            </w:r>
          </w:p>
        </w:tc>
        <w:tc>
          <w:tcPr>
            <w:tcW w:w="894" w:type="dxa"/>
            <w:vAlign w:val="center"/>
          </w:tcPr>
          <w:p w14:paraId="3B769FFC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41B8ADD6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18FF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4" w:type="dxa"/>
            <w:gridSpan w:val="3"/>
            <w:shd w:val="clear" w:color="auto" w:fill="D8D8D8" w:themeFill="background1" w:themeFillShade="D9"/>
          </w:tcPr>
          <w:p w14:paraId="2691A26C">
            <w:pPr>
              <w:widowControl/>
              <w:jc w:val="left"/>
              <w:rPr>
                <w:rFonts w:ascii="MingLiU" w:cs="MingLiU"/>
                <w:color w:val="000000"/>
                <w:kern w:val="0"/>
                <w:szCs w:val="21"/>
              </w:rPr>
            </w:pPr>
            <w:r>
              <w:rPr>
                <w:rFonts w:hint="eastAsia"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>大类标准6</w:t>
            </w:r>
            <w:r>
              <w:rPr>
                <w:rFonts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>课程技术：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课程技术是智慧课程中支持教学与学习的重要组成部分，是实现教学目标、提升学习质量、促进学生持续发展的关键支撑。</w:t>
            </w:r>
          </w:p>
        </w:tc>
      </w:tr>
      <w:tr w14:paraId="5DD6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shd w:val="clear" w:color="auto" w:fill="D8D8D8" w:themeFill="background1" w:themeFillShade="D9"/>
          </w:tcPr>
          <w:p w14:paraId="29247FB9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具体标准</w:t>
            </w:r>
          </w:p>
        </w:tc>
        <w:tc>
          <w:tcPr>
            <w:tcW w:w="894" w:type="dxa"/>
            <w:shd w:val="clear" w:color="auto" w:fill="D8D8D8" w:themeFill="background1" w:themeFillShade="D9"/>
          </w:tcPr>
          <w:p w14:paraId="3FA80211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打分</w:t>
            </w:r>
          </w:p>
        </w:tc>
        <w:tc>
          <w:tcPr>
            <w:tcW w:w="4872" w:type="dxa"/>
            <w:shd w:val="clear" w:color="auto" w:fill="D8D8D8" w:themeFill="background1" w:themeFillShade="D9"/>
          </w:tcPr>
          <w:p w14:paraId="3AD16338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说明</w:t>
            </w:r>
          </w:p>
        </w:tc>
      </w:tr>
      <w:tr w14:paraId="4FBA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7686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课程技术有助于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实现学习目标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18DBE269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restart"/>
            <w:vAlign w:val="center"/>
          </w:tcPr>
          <w:p w14:paraId="7B4F8626">
            <w:pPr>
              <w:autoSpaceDE w:val="0"/>
              <w:autoSpaceDN w:val="0"/>
              <w:adjustRightInd w:val="0"/>
              <w:spacing w:line="340" w:lineRule="exact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7E5A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8A7FD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课程技术有助于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积极参与，主动学习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33F0E56A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3923BCFD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58AF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0711B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课程使用的技术与时俱进，体现学科特点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</w:rPr>
              <w:t>分）</w:t>
            </w:r>
          </w:p>
        </w:tc>
        <w:tc>
          <w:tcPr>
            <w:tcW w:w="894" w:type="dxa"/>
            <w:vAlign w:val="center"/>
          </w:tcPr>
          <w:p w14:paraId="3F8945D1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140FD3C3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718C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4" w:type="dxa"/>
            <w:gridSpan w:val="3"/>
            <w:shd w:val="clear" w:color="auto" w:fill="D8D8D8" w:themeFill="background1" w:themeFillShade="D9"/>
          </w:tcPr>
          <w:p w14:paraId="66FA3F9B">
            <w:pPr>
              <w:autoSpaceDE w:val="0"/>
              <w:autoSpaceDN w:val="0"/>
              <w:adjustRightInd w:val="0"/>
              <w:jc w:val="left"/>
              <w:rPr>
                <w:rFonts w:hint="eastAsia" w:ascii="MingLiU" w:eastAsia="宋体" w:cs="MingLiU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>大类标准7 学习支持：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为确保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能够充分获取并有效利用各类学习支持资源，课程设计中有必要明确提供相关支持信息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val="en-US" w:eastAsia="zh-CN"/>
              </w:rPr>
              <w:t>.</w:t>
            </w:r>
          </w:p>
        </w:tc>
      </w:tr>
      <w:tr w14:paraId="7394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shd w:val="clear" w:color="auto" w:fill="D8D8D8" w:themeFill="background1" w:themeFillShade="D9"/>
          </w:tcPr>
          <w:p w14:paraId="68FF6B45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具体标准</w:t>
            </w:r>
          </w:p>
        </w:tc>
        <w:tc>
          <w:tcPr>
            <w:tcW w:w="894" w:type="dxa"/>
            <w:shd w:val="clear" w:color="auto" w:fill="D8D8D8" w:themeFill="background1" w:themeFillShade="D9"/>
          </w:tcPr>
          <w:p w14:paraId="69E4356D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打分</w:t>
            </w:r>
          </w:p>
        </w:tc>
        <w:tc>
          <w:tcPr>
            <w:tcW w:w="4872" w:type="dxa"/>
            <w:shd w:val="clear" w:color="auto" w:fill="D8D8D8" w:themeFill="background1" w:themeFillShade="D9"/>
          </w:tcPr>
          <w:p w14:paraId="25CD1DFC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说明</w:t>
            </w:r>
          </w:p>
        </w:tc>
      </w:tr>
      <w:tr w14:paraId="1D57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44EE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明确说明提供的技术支持服务、学术支持服务以及它们的获取方式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3CAC95C8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restart"/>
            <w:vAlign w:val="center"/>
          </w:tcPr>
          <w:p w14:paraId="5E359BFC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6FCB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164C7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容易获取课程所用的技术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分）</w:t>
            </w:r>
          </w:p>
        </w:tc>
        <w:tc>
          <w:tcPr>
            <w:tcW w:w="894" w:type="dxa"/>
            <w:vAlign w:val="center"/>
          </w:tcPr>
          <w:p w14:paraId="121EEDFC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40749A30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31C9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6E94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为满足不同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的学习需要，课程学习资源有不同的呈现形式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分）</w:t>
            </w:r>
          </w:p>
        </w:tc>
        <w:tc>
          <w:tcPr>
            <w:tcW w:w="894" w:type="dxa"/>
            <w:vAlign w:val="center"/>
          </w:tcPr>
          <w:p w14:paraId="3A2A09E3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2AC9ABCC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0D8E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4" w:type="dxa"/>
            <w:gridSpan w:val="3"/>
            <w:shd w:val="clear" w:color="auto" w:fill="D8D8D8" w:themeFill="background1" w:themeFillShade="D9"/>
          </w:tcPr>
          <w:p w14:paraId="08FEB26F">
            <w:pPr>
              <w:widowControl/>
              <w:jc w:val="left"/>
              <w:rPr>
                <w:rFonts w:ascii="MingLiU" w:cs="MingLiU"/>
                <w:color w:val="000000"/>
                <w:kern w:val="0"/>
                <w:szCs w:val="21"/>
              </w:rPr>
            </w:pPr>
            <w:r>
              <w:rPr>
                <w:rFonts w:hint="eastAsia" w:cs="MingLiU" w:asciiTheme="majorEastAsia" w:hAnsiTheme="majorEastAsia" w:eastAsiaTheme="majorEastAsia"/>
                <w:b/>
                <w:color w:val="000000"/>
                <w:kern w:val="0"/>
                <w:sz w:val="22"/>
              </w:rPr>
              <w:t>大类标准8 课程制作：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</w:rPr>
              <w:t>课程制作应充分考虑课程对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</w:rPr>
              <w:t>的吸引力和便捷获取</w:t>
            </w:r>
            <w:r>
              <w:rPr>
                <w:rStyle w:val="19"/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</w:rPr>
              <w:t>的需求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val="en-US" w:eastAsia="zh-CN"/>
              </w:rPr>
              <w:t>体现AI技术融入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。</w:t>
            </w:r>
          </w:p>
        </w:tc>
      </w:tr>
      <w:tr w14:paraId="4C3C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shd w:val="clear" w:color="auto" w:fill="D8D8D8" w:themeFill="background1" w:themeFillShade="D9"/>
          </w:tcPr>
          <w:p w14:paraId="2B0888E2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具体标准</w:t>
            </w:r>
          </w:p>
        </w:tc>
        <w:tc>
          <w:tcPr>
            <w:tcW w:w="894" w:type="dxa"/>
            <w:shd w:val="clear" w:color="auto" w:fill="D8D8D8" w:themeFill="background1" w:themeFillShade="D9"/>
          </w:tcPr>
          <w:p w14:paraId="39E6E553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打分</w:t>
            </w:r>
          </w:p>
        </w:tc>
        <w:tc>
          <w:tcPr>
            <w:tcW w:w="4872" w:type="dxa"/>
            <w:shd w:val="clear" w:color="auto" w:fill="D8D8D8" w:themeFill="background1" w:themeFillShade="D9"/>
          </w:tcPr>
          <w:p w14:paraId="6140E3CE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 w:val="22"/>
              </w:rPr>
            </w:pPr>
            <w:r>
              <w:rPr>
                <w:rFonts w:hint="eastAsia" w:ascii="MingLiU" w:cs="MingLiU"/>
                <w:color w:val="000000"/>
                <w:kern w:val="0"/>
                <w:sz w:val="22"/>
              </w:rPr>
              <w:t>说明</w:t>
            </w:r>
          </w:p>
        </w:tc>
      </w:tr>
      <w:tr w14:paraId="4870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F9FAA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课程整体呈现清晰，融合智能技术增强课程学习引导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2E98F586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restart"/>
            <w:vAlign w:val="center"/>
          </w:tcPr>
          <w:p w14:paraId="6428A77A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4895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6216E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视频制作恰当，能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激发学生参与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（3分）</w:t>
            </w:r>
          </w:p>
        </w:tc>
        <w:tc>
          <w:tcPr>
            <w:tcW w:w="894" w:type="dxa"/>
            <w:vAlign w:val="center"/>
          </w:tcPr>
          <w:p w14:paraId="156D7239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150F49BB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7555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42059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各种文本资料可读性强，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高效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分）</w:t>
            </w:r>
          </w:p>
        </w:tc>
        <w:tc>
          <w:tcPr>
            <w:tcW w:w="894" w:type="dxa"/>
            <w:tcBorders>
              <w:bottom w:val="single" w:color="auto" w:sz="4" w:space="0"/>
            </w:tcBorders>
            <w:vAlign w:val="center"/>
          </w:tcPr>
          <w:p w14:paraId="29439FBF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17258CFF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  <w:tr w14:paraId="2168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7441">
            <w:pPr>
              <w:widowControl/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智能学习助手设置合理，体现课程特色，支持个性化学习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分）</w:t>
            </w:r>
          </w:p>
        </w:tc>
        <w:tc>
          <w:tcPr>
            <w:tcW w:w="894" w:type="dxa"/>
            <w:tcBorders>
              <w:top w:val="single" w:color="auto" w:sz="4" w:space="0"/>
            </w:tcBorders>
            <w:vAlign w:val="center"/>
          </w:tcPr>
          <w:p w14:paraId="47F96B1B">
            <w:pPr>
              <w:autoSpaceDE w:val="0"/>
              <w:autoSpaceDN w:val="0"/>
              <w:adjustRightInd w:val="0"/>
              <w:jc w:val="center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  <w:tc>
          <w:tcPr>
            <w:tcW w:w="4872" w:type="dxa"/>
            <w:vMerge w:val="continue"/>
            <w:vAlign w:val="center"/>
          </w:tcPr>
          <w:p w14:paraId="04C51C75">
            <w:pPr>
              <w:autoSpaceDE w:val="0"/>
              <w:autoSpaceDN w:val="0"/>
              <w:adjustRightInd w:val="0"/>
              <w:rPr>
                <w:rFonts w:ascii="MingLiU" w:cs="MingLiU"/>
                <w:color w:val="000000"/>
                <w:kern w:val="0"/>
                <w:szCs w:val="21"/>
              </w:rPr>
            </w:pPr>
          </w:p>
        </w:tc>
      </w:tr>
    </w:tbl>
    <w:p w14:paraId="7EDF2D97">
      <w:pPr>
        <w:autoSpaceDE w:val="0"/>
        <w:autoSpaceDN w:val="0"/>
        <w:adjustRightInd w:val="0"/>
        <w:spacing w:before="156" w:beforeLines="50"/>
        <w:jc w:val="left"/>
        <w:rPr>
          <w:rFonts w:ascii="微软雅黑" w:hAnsi="微软雅黑" w:eastAsia="微软雅黑" w:cs="微软雅黑"/>
          <w:b/>
          <w:kern w:val="0"/>
          <w:sz w:val="24"/>
          <w:szCs w:val="40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40"/>
        </w:rPr>
        <w:t>三、对课程的意见和</w:t>
      </w:r>
      <w:r>
        <w:rPr>
          <w:rFonts w:ascii="微软雅黑" w:hAnsi="微软雅黑" w:eastAsia="微软雅黑" w:cs="微软雅黑"/>
          <w:b/>
          <w:kern w:val="0"/>
          <w:sz w:val="24"/>
          <w:szCs w:val="40"/>
        </w:rPr>
        <w:t>建议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 w14:paraId="4AFB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4" w:hRule="atLeast"/>
        </w:trPr>
        <w:tc>
          <w:tcPr>
            <w:tcW w:w="9140" w:type="dxa"/>
          </w:tcPr>
          <w:p w14:paraId="5A6868B7">
            <w:pPr>
              <w:autoSpaceDE w:val="0"/>
              <w:autoSpaceDN w:val="0"/>
              <w:adjustRightInd w:val="0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40"/>
              </w:rPr>
            </w:pPr>
          </w:p>
        </w:tc>
      </w:tr>
    </w:tbl>
    <w:p w14:paraId="5037C376">
      <w:pPr>
        <w:widowControl/>
        <w:spacing w:line="440" w:lineRule="exact"/>
        <w:jc w:val="left"/>
        <w:rPr>
          <w:rFonts w:ascii="华文楷体" w:hAnsi="华文楷体" w:eastAsia="华文楷体"/>
          <w:color w:val="000000"/>
          <w:sz w:val="28"/>
          <w:szCs w:val="24"/>
        </w:rPr>
      </w:pPr>
    </w:p>
    <w:sectPr>
      <w:headerReference r:id="rId3" w:type="default"/>
      <w:pgSz w:w="11906" w:h="16838"/>
      <w:pgMar w:top="1440" w:right="1418" w:bottom="1440" w:left="1418" w:header="283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3E8D3">
    <w:pPr>
      <w:pStyle w:val="5"/>
    </w:pPr>
    <w:r>
      <w:drawing>
        <wp:inline distT="0" distB="0" distL="0" distR="0">
          <wp:extent cx="1012190" cy="7143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990" cy="722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zNDM2ZTg2YWYwOTljOTUxMjQ2ZjRiNmU5YWNjMDAifQ=="/>
  </w:docVars>
  <w:rsids>
    <w:rsidRoot w:val="00DF6319"/>
    <w:rsid w:val="00024248"/>
    <w:rsid w:val="00043190"/>
    <w:rsid w:val="00045C85"/>
    <w:rsid w:val="00061B5E"/>
    <w:rsid w:val="00085799"/>
    <w:rsid w:val="000B27AD"/>
    <w:rsid w:val="000D13B4"/>
    <w:rsid w:val="000E1097"/>
    <w:rsid w:val="00103D32"/>
    <w:rsid w:val="001042D4"/>
    <w:rsid w:val="0011275E"/>
    <w:rsid w:val="00121DDA"/>
    <w:rsid w:val="00134184"/>
    <w:rsid w:val="00145E67"/>
    <w:rsid w:val="00191D9C"/>
    <w:rsid w:val="001E4FAD"/>
    <w:rsid w:val="001F2A06"/>
    <w:rsid w:val="0021125D"/>
    <w:rsid w:val="002244DA"/>
    <w:rsid w:val="00231D22"/>
    <w:rsid w:val="00297ED0"/>
    <w:rsid w:val="002D4B52"/>
    <w:rsid w:val="002F4D07"/>
    <w:rsid w:val="003314A4"/>
    <w:rsid w:val="00360B35"/>
    <w:rsid w:val="0036171D"/>
    <w:rsid w:val="00361C9B"/>
    <w:rsid w:val="00394077"/>
    <w:rsid w:val="003B72F9"/>
    <w:rsid w:val="003C777C"/>
    <w:rsid w:val="003E435E"/>
    <w:rsid w:val="00404E41"/>
    <w:rsid w:val="00425A90"/>
    <w:rsid w:val="004331E7"/>
    <w:rsid w:val="0044254D"/>
    <w:rsid w:val="00462C0F"/>
    <w:rsid w:val="00464D62"/>
    <w:rsid w:val="004947DC"/>
    <w:rsid w:val="004B4781"/>
    <w:rsid w:val="004C0BD1"/>
    <w:rsid w:val="004E361B"/>
    <w:rsid w:val="004F5414"/>
    <w:rsid w:val="005070F8"/>
    <w:rsid w:val="00561320"/>
    <w:rsid w:val="0059028E"/>
    <w:rsid w:val="0059150D"/>
    <w:rsid w:val="005C0205"/>
    <w:rsid w:val="005D246C"/>
    <w:rsid w:val="005E0771"/>
    <w:rsid w:val="005F26C6"/>
    <w:rsid w:val="006245F8"/>
    <w:rsid w:val="006A371F"/>
    <w:rsid w:val="006F3611"/>
    <w:rsid w:val="006F6636"/>
    <w:rsid w:val="006F77FA"/>
    <w:rsid w:val="00722E94"/>
    <w:rsid w:val="00724B7F"/>
    <w:rsid w:val="00747CCE"/>
    <w:rsid w:val="00763758"/>
    <w:rsid w:val="007F4DEF"/>
    <w:rsid w:val="00812275"/>
    <w:rsid w:val="00847EE1"/>
    <w:rsid w:val="00857551"/>
    <w:rsid w:val="00857F22"/>
    <w:rsid w:val="008C603C"/>
    <w:rsid w:val="008D3D70"/>
    <w:rsid w:val="008E6734"/>
    <w:rsid w:val="0093750F"/>
    <w:rsid w:val="00956E25"/>
    <w:rsid w:val="009C3343"/>
    <w:rsid w:val="009E19B3"/>
    <w:rsid w:val="009E4C38"/>
    <w:rsid w:val="00A24437"/>
    <w:rsid w:val="00A4132D"/>
    <w:rsid w:val="00A4731F"/>
    <w:rsid w:val="00A57EE9"/>
    <w:rsid w:val="00AC51FC"/>
    <w:rsid w:val="00AD2FAD"/>
    <w:rsid w:val="00AF7483"/>
    <w:rsid w:val="00B10A04"/>
    <w:rsid w:val="00B21079"/>
    <w:rsid w:val="00B77162"/>
    <w:rsid w:val="00B911AD"/>
    <w:rsid w:val="00BA77AE"/>
    <w:rsid w:val="00BB55A4"/>
    <w:rsid w:val="00BC0836"/>
    <w:rsid w:val="00C030B8"/>
    <w:rsid w:val="00C06D60"/>
    <w:rsid w:val="00C439F4"/>
    <w:rsid w:val="00CA6D6F"/>
    <w:rsid w:val="00CC1768"/>
    <w:rsid w:val="00CC3E79"/>
    <w:rsid w:val="00CD11DB"/>
    <w:rsid w:val="00CF47BA"/>
    <w:rsid w:val="00D00B66"/>
    <w:rsid w:val="00D07EBB"/>
    <w:rsid w:val="00D23713"/>
    <w:rsid w:val="00D26F77"/>
    <w:rsid w:val="00DF2F2E"/>
    <w:rsid w:val="00DF6319"/>
    <w:rsid w:val="00E07129"/>
    <w:rsid w:val="00E25161"/>
    <w:rsid w:val="00E51929"/>
    <w:rsid w:val="00E549BB"/>
    <w:rsid w:val="00E560C2"/>
    <w:rsid w:val="00EA186C"/>
    <w:rsid w:val="00EA2447"/>
    <w:rsid w:val="00EA56EF"/>
    <w:rsid w:val="00ED2B1B"/>
    <w:rsid w:val="00F51730"/>
    <w:rsid w:val="00F6654E"/>
    <w:rsid w:val="00FA6911"/>
    <w:rsid w:val="00FB6C17"/>
    <w:rsid w:val="00FE392F"/>
    <w:rsid w:val="01184AE4"/>
    <w:rsid w:val="01C00560"/>
    <w:rsid w:val="03C625F7"/>
    <w:rsid w:val="042429DA"/>
    <w:rsid w:val="071675D7"/>
    <w:rsid w:val="0B55677A"/>
    <w:rsid w:val="12417BDF"/>
    <w:rsid w:val="19D958F8"/>
    <w:rsid w:val="1B720B8F"/>
    <w:rsid w:val="25964198"/>
    <w:rsid w:val="2B1D175F"/>
    <w:rsid w:val="325A1741"/>
    <w:rsid w:val="34A875FF"/>
    <w:rsid w:val="3ADF2E1B"/>
    <w:rsid w:val="3F2469D9"/>
    <w:rsid w:val="48B669DC"/>
    <w:rsid w:val="4A7223C3"/>
    <w:rsid w:val="524A4B14"/>
    <w:rsid w:val="53093A61"/>
    <w:rsid w:val="558113B8"/>
    <w:rsid w:val="5794577B"/>
    <w:rsid w:val="5800441B"/>
    <w:rsid w:val="58221568"/>
    <w:rsid w:val="59ED586C"/>
    <w:rsid w:val="5EA9579C"/>
    <w:rsid w:val="689D7EE5"/>
    <w:rsid w:val="692975FD"/>
    <w:rsid w:val="6D38431D"/>
    <w:rsid w:val="6FCC5E77"/>
    <w:rsid w:val="7495349B"/>
    <w:rsid w:val="7B96245A"/>
    <w:rsid w:val="7DC74731"/>
    <w:rsid w:val="7E2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</w:style>
  <w:style w:type="character" w:customStyle="1" w:styleId="18">
    <w:name w:val="批注主题 Char"/>
    <w:basedOn w:val="17"/>
    <w:link w:val="6"/>
    <w:semiHidden/>
    <w:qFormat/>
    <w:uiPriority w:val="99"/>
    <w:rPr>
      <w:b/>
      <w:bCs/>
    </w:rPr>
  </w:style>
  <w:style w:type="character" w:customStyle="1" w:styleId="19">
    <w:name w:val="short_tex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1621</Words>
  <Characters>1703</Characters>
  <Lines>13</Lines>
  <Paragraphs>3</Paragraphs>
  <TotalTime>7</TotalTime>
  <ScaleCrop>false</ScaleCrop>
  <LinksUpToDate>false</LinksUpToDate>
  <CharactersWithSpaces>1714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2020-08-14T08:10:00Z</dcterms:created>
  <dc:creator>fanhh</dc:creator>
  <cp:lastModifiedBy>李娜</cp:lastModifiedBy>
  <cp:lastPrinted>2018-12-29T01:03:00Z</cp:lastPrinted>
  <dcterms:modified xsi:type="dcterms:W3CDTF">2025-05-11T03:08:28Z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F0BE9886402D46B19BB4404EBC927F28</vt:lpwstr>
  </property>
  <property fmtid="{D5CDD505-2E9C-101B-9397-08002B2CF9AE}" pid="4" name="KSOTemplateDocerSaveRecord">
    <vt:lpwstr>eyJoZGlkIjoiMmY1ZWNjNDY0MTY5YmEyMDc3YjYwNWIxNjE4OGMzZjUiLCJ1c2VySWQiOiI0NTgzNzQyNjgifQ==</vt:lpwstr>
  </property>
</Properties>
</file>